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590867">
      <w:pPr>
        <w:spacing w:line="520" w:lineRule="exact"/>
        <w:rPr>
          <w:rFonts w:hint="eastAsia" w:ascii="华文中宋" w:hAnsi="华文中宋" w:eastAsia="华文中宋"/>
          <w:b/>
          <w:bCs/>
          <w:sz w:val="36"/>
          <w:szCs w:val="40"/>
        </w:rPr>
      </w:pPr>
      <w:bookmarkStart w:id="0" w:name="_GoBack"/>
      <w:r>
        <w:rPr>
          <w:rFonts w:hint="eastAsia" w:ascii="华文中宋" w:hAnsi="华文中宋" w:eastAsia="华文中宋"/>
          <w:b/>
          <w:bCs/>
          <w:sz w:val="36"/>
          <w:szCs w:val="40"/>
        </w:rPr>
        <w:t>附件：《福清350181-08-L-26等地块详细规划》的主要内容及规划图纸</w:t>
      </w:r>
    </w:p>
    <w:bookmarkEnd w:id="0"/>
    <w:p w14:paraId="62A41216">
      <w:pPr>
        <w:rPr>
          <w:rFonts w:ascii="仿宋_GB2312" w:eastAsia="仿宋_GB2312"/>
          <w:b/>
          <w:sz w:val="32"/>
          <w:szCs w:val="32"/>
        </w:rPr>
      </w:pPr>
    </w:p>
    <w:p w14:paraId="4B56B873">
      <w:pPr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一、主要内容</w:t>
      </w:r>
    </w:p>
    <w:p w14:paraId="58EEE12D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1、规划范围</w:t>
      </w:r>
    </w:p>
    <w:p w14:paraId="5F416D89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规划区位于福清市东部新城龙东片区，北至福清市托老康复中心（在建），东临空地，南侧为山水大道西延伸段，西邻龙东村村道。规划总用地面积1.97公顷。</w:t>
      </w:r>
    </w:p>
    <w:p w14:paraId="6C141A13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2</w:t>
      </w:r>
      <w:r>
        <w:rPr>
          <w:rFonts w:hint="eastAsia" w:ascii="仿宋_GB2312" w:eastAsia="仿宋_GB2312"/>
          <w:b/>
          <w:sz w:val="32"/>
          <w:szCs w:val="32"/>
        </w:rPr>
        <w:t>、地块使用性质</w:t>
      </w:r>
    </w:p>
    <w:p w14:paraId="5A394E0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规划用地性质分类和代码均采用《国土空间调查、规划、用途管制用地用海分类指南》，规划地块350181-08-L-26-01用地性质为100101（一类工业用地），规划地块350181-08-L-26-02用地性质为1401（公园绿地）。</w:t>
      </w:r>
    </w:p>
    <w:p w14:paraId="63733796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3</w:t>
      </w:r>
      <w:r>
        <w:rPr>
          <w:rFonts w:hint="eastAsia" w:ascii="仿宋_GB2312" w:eastAsia="仿宋_GB2312"/>
          <w:b/>
          <w:sz w:val="32"/>
          <w:szCs w:val="32"/>
        </w:rPr>
        <w:t>、地块控制指标</w:t>
      </w:r>
    </w:p>
    <w:tbl>
      <w:tblPr>
        <w:tblStyle w:val="7"/>
        <w:tblW w:w="835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64"/>
        <w:gridCol w:w="964"/>
        <w:gridCol w:w="1134"/>
        <w:gridCol w:w="970"/>
        <w:gridCol w:w="970"/>
        <w:gridCol w:w="970"/>
        <w:gridCol w:w="970"/>
      </w:tblGrid>
      <w:tr w14:paraId="6C9882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8558D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b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sz w:val="24"/>
              </w:rPr>
              <w:t>地块编号</w:t>
            </w:r>
          </w:p>
        </w:tc>
        <w:tc>
          <w:tcPr>
            <w:tcW w:w="9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66D6D1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b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sz w:val="24"/>
              </w:rPr>
              <w:t>用地用海分类代码</w:t>
            </w:r>
          </w:p>
        </w:tc>
        <w:tc>
          <w:tcPr>
            <w:tcW w:w="9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4BEC89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b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sz w:val="24"/>
              </w:rPr>
              <w:t>用地用海分类名称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BE3116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b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sz w:val="24"/>
              </w:rPr>
              <w:t>用地面积(m</w:t>
            </w:r>
            <w:r>
              <w:rPr>
                <w:rFonts w:ascii="仿宋_GB2312" w:hAnsi="仿宋" w:eastAsia="仿宋_GB2312"/>
                <w:b/>
                <w:bCs/>
                <w:sz w:val="24"/>
                <w:vertAlign w:val="superscript"/>
              </w:rPr>
              <w:t>2</w:t>
            </w:r>
            <w:r>
              <w:rPr>
                <w:rFonts w:hint="eastAsia" w:ascii="仿宋_GB2312" w:hAnsi="仿宋" w:eastAsia="仿宋_GB2312"/>
                <w:b/>
                <w:bCs/>
                <w:sz w:val="24"/>
              </w:rPr>
              <w:t>)</w:t>
            </w: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6E19B8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b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sz w:val="24"/>
              </w:rPr>
              <w:t>容积率</w:t>
            </w: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DD8415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b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sz w:val="24"/>
              </w:rPr>
              <w:t>建筑密度(%)</w:t>
            </w: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20E41C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b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sz w:val="24"/>
              </w:rPr>
              <w:t>绿地率(%)</w:t>
            </w: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DBCEC7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b/>
                <w:bCs/>
                <w:sz w:val="24"/>
              </w:rPr>
            </w:pPr>
            <w:r>
              <w:rPr>
                <w:rFonts w:hint="eastAsia" w:ascii="仿宋_GB2312" w:hAnsi="仿宋" w:eastAsia="仿宋_GB2312"/>
                <w:b/>
                <w:bCs/>
                <w:sz w:val="24"/>
              </w:rPr>
              <w:t>建筑限高(m)</w:t>
            </w:r>
          </w:p>
        </w:tc>
      </w:tr>
      <w:tr w14:paraId="032ABA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D38361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350181-08-L-26-01</w:t>
            </w:r>
          </w:p>
        </w:tc>
        <w:tc>
          <w:tcPr>
            <w:tcW w:w="9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63E51A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100101</w:t>
            </w:r>
          </w:p>
        </w:tc>
        <w:tc>
          <w:tcPr>
            <w:tcW w:w="9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58C727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一类工业用地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DCD931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pacing w:val="-10"/>
                <w:sz w:val="24"/>
              </w:rPr>
            </w:pPr>
            <w:r>
              <w:rPr>
                <w:rFonts w:hint="eastAsia" w:ascii="仿宋_GB2312" w:hAnsi="仿宋" w:eastAsia="仿宋_GB2312"/>
                <w:spacing w:val="-4"/>
                <w:sz w:val="24"/>
              </w:rPr>
              <w:t>18411</w:t>
            </w:r>
            <w:r>
              <w:rPr>
                <w:rFonts w:hint="eastAsia" w:ascii="仿宋_GB2312" w:hAnsi="仿宋" w:eastAsia="仿宋_GB2312"/>
                <w:spacing w:val="-20"/>
                <w:sz w:val="24"/>
              </w:rPr>
              <w:t>.</w:t>
            </w:r>
            <w:r>
              <w:rPr>
                <w:rFonts w:hint="eastAsia" w:ascii="仿宋_GB2312" w:hAnsi="仿宋" w:eastAsia="仿宋_GB2312"/>
                <w:spacing w:val="-4"/>
                <w:sz w:val="24"/>
              </w:rPr>
              <w:t>09</w:t>
            </w: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850537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1.0-3.0</w:t>
            </w: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25F5B5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≤40</w:t>
            </w: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4FFBB8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10-20</w:t>
            </w: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888F4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≤36</w:t>
            </w:r>
          </w:p>
        </w:tc>
      </w:tr>
      <w:tr w14:paraId="63289D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44939D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350181-08-L-26-02</w:t>
            </w:r>
          </w:p>
        </w:tc>
        <w:tc>
          <w:tcPr>
            <w:tcW w:w="9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FAB53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1401</w:t>
            </w:r>
          </w:p>
        </w:tc>
        <w:tc>
          <w:tcPr>
            <w:tcW w:w="9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BC9652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公园绿地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DFBBB4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1311.40</w:t>
            </w: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30C23C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≤0.1</w:t>
            </w: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8231B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≤5</w:t>
            </w: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79C33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≥65</w:t>
            </w:r>
          </w:p>
        </w:tc>
        <w:tc>
          <w:tcPr>
            <w:tcW w:w="9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801EC1">
            <w:pPr>
              <w:pStyle w:val="14"/>
              <w:spacing w:before="0" w:after="0"/>
              <w:ind w:left="0" w:leftChars="0" w:right="0" w:rightChars="0"/>
              <w:rPr>
                <w:rFonts w:hint="eastAsia" w:ascii="仿宋_GB2312" w:hAnsi="仿宋" w:eastAsia="仿宋_GB2312"/>
                <w:sz w:val="24"/>
              </w:rPr>
            </w:pPr>
            <w:r>
              <w:rPr>
                <w:rFonts w:hint="eastAsia" w:ascii="仿宋_GB2312" w:hAnsi="仿宋" w:eastAsia="仿宋_GB2312"/>
                <w:sz w:val="24"/>
              </w:rPr>
              <w:t>≤12</w:t>
            </w:r>
          </w:p>
        </w:tc>
      </w:tr>
    </w:tbl>
    <w:p w14:paraId="283D19A1">
      <w:pPr>
        <w:spacing w:before="156" w:beforeLines="50"/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4、道路交通规划</w:t>
      </w:r>
    </w:p>
    <w:p w14:paraId="4B0CF00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对外交通主要依托规划区南侧的主干道山水大道，红线宽度为40米；西侧的次干道玉峰路，红线宽度为30米；东侧的次干道龙井路，红线宽度为24米。地块内停车设施配建标准按《福建省城市规划管理技术规定》执行。</w:t>
      </w:r>
    </w:p>
    <w:p w14:paraId="4A60513F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5、城市设计引导</w:t>
      </w:r>
    </w:p>
    <w:p w14:paraId="6C19B387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区建筑风格以现代简约风格为主，强调实用、规整、低彩度。建筑整体以大体量几何体块为主，通过立面虚实变化、高低组合塑造现代感，避免繁琐装饰，大体量厂房可通过分段、错动、退台来消解压迫感。建议以灰色、银色、白色等为主色调，辅助以浅蓝、米黄等色彩，以营造明快现代的制造氛围。</w:t>
      </w:r>
    </w:p>
    <w:p w14:paraId="3109337C">
      <w:pPr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二、规划图纸</w:t>
      </w:r>
    </w:p>
    <w:p w14:paraId="4908F62F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1、土地利用规划图</w:t>
      </w:r>
    </w:p>
    <w:p w14:paraId="77D9569E">
      <w:pPr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0" distR="0">
            <wp:extent cx="5268595" cy="3725545"/>
            <wp:effectExtent l="0" t="0" r="825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780" cy="372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CDAAA">
      <w:pPr>
        <w:widowControl/>
        <w:jc w:val="left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br w:type="page"/>
      </w:r>
    </w:p>
    <w:p w14:paraId="1EBDA1EC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2、道路交通规划图</w:t>
      </w:r>
    </w:p>
    <w:p w14:paraId="6BF99F5E">
      <w:pPr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0" distR="0">
            <wp:extent cx="5268595" cy="3725545"/>
            <wp:effectExtent l="0" t="0" r="825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780" cy="372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3C1AC">
      <w:pPr>
        <w:ind w:firstLine="643" w:firstLineChars="200"/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3、地块图则</w:t>
      </w:r>
    </w:p>
    <w:p w14:paraId="2809CC50"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5254625" cy="3715385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008" cy="371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656D48">
    <w:pPr>
      <w:pStyle w:val="4"/>
      <w:framePr w:w="1099" w:wrap="around" w:vAnchor="text" w:hAnchor="page" w:x="8998" w:y="-2"/>
      <w:jc w:val="both"/>
      <w:rPr>
        <w:rStyle w:val="10"/>
        <w:rFonts w:hint="eastAsia" w:ascii="宋体" w:hAnsi="宋体"/>
        <w:sz w:val="28"/>
        <w:szCs w:val="28"/>
      </w:rPr>
    </w:pPr>
    <w:r>
      <w:rPr>
        <w:rStyle w:val="10"/>
        <w:rFonts w:hint="eastAsia" w:ascii="宋体" w:hAnsi="宋体"/>
        <w:sz w:val="28"/>
        <w:szCs w:val="28"/>
      </w:rPr>
      <w:fldChar w:fldCharType="begin"/>
    </w:r>
    <w:r>
      <w:rPr>
        <w:rStyle w:val="10"/>
        <w:rFonts w:hint="eastAsia" w:ascii="宋体" w:hAnsi="宋体"/>
        <w:sz w:val="28"/>
        <w:szCs w:val="28"/>
      </w:rPr>
      <w:instrText xml:space="preserve">PAGE  </w:instrText>
    </w:r>
    <w:r>
      <w:rPr>
        <w:rStyle w:val="10"/>
        <w:rFonts w:hint="eastAsia" w:ascii="宋体" w:hAnsi="宋体"/>
        <w:sz w:val="28"/>
        <w:szCs w:val="28"/>
      </w:rPr>
      <w:fldChar w:fldCharType="separate"/>
    </w:r>
    <w:r>
      <w:rPr>
        <w:rStyle w:val="10"/>
        <w:rFonts w:ascii="宋体" w:hAnsi="宋体"/>
        <w:sz w:val="28"/>
        <w:szCs w:val="28"/>
      </w:rPr>
      <w:t>- 3 -</w:t>
    </w:r>
    <w:r>
      <w:rPr>
        <w:rStyle w:val="10"/>
        <w:rFonts w:hint="eastAsia" w:ascii="宋体" w:hAnsi="宋体"/>
        <w:sz w:val="28"/>
        <w:szCs w:val="28"/>
      </w:rPr>
      <w:fldChar w:fldCharType="end"/>
    </w:r>
    <w:r>
      <w:rPr>
        <w:rStyle w:val="10"/>
        <w:rFonts w:hint="eastAsia" w:ascii="宋体" w:hAnsi="宋体"/>
        <w:sz w:val="28"/>
        <w:szCs w:val="28"/>
      </w:rPr>
      <w:t xml:space="preserve">       </w:t>
    </w:r>
  </w:p>
  <w:p w14:paraId="7F1E5B1D">
    <w:pPr>
      <w:pStyle w:val="4"/>
      <w:ind w:right="360" w:firstLine="360"/>
      <w:rPr>
        <w:rFonts w:ascii="仿宋_GB2312" w:eastAsia="仿宋_GB2312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DCD92E">
    <w:pPr>
      <w:pStyle w:val="4"/>
      <w:framePr w:wrap="around" w:vAnchor="text" w:hAnchor="margin" w:xAlign="outside" w:y="1"/>
      <w:ind w:firstLine="280"/>
      <w:rPr>
        <w:rStyle w:val="10"/>
        <w:rFonts w:hint="eastAsia" w:ascii="宋体" w:hAnsi="宋体"/>
        <w:sz w:val="28"/>
        <w:szCs w:val="28"/>
      </w:rPr>
    </w:pPr>
    <w:r>
      <w:rPr>
        <w:rStyle w:val="10"/>
        <w:rFonts w:ascii="宋体" w:hAnsi="宋体"/>
        <w:sz w:val="28"/>
        <w:szCs w:val="28"/>
      </w:rPr>
      <w:fldChar w:fldCharType="begin"/>
    </w:r>
    <w:r>
      <w:rPr>
        <w:rStyle w:val="10"/>
        <w:rFonts w:ascii="宋体" w:hAnsi="宋体"/>
        <w:sz w:val="28"/>
        <w:szCs w:val="28"/>
      </w:rPr>
      <w:instrText xml:space="preserve">PAGE  </w:instrText>
    </w:r>
    <w:r>
      <w:rPr>
        <w:rStyle w:val="10"/>
        <w:rFonts w:ascii="宋体" w:hAnsi="宋体"/>
        <w:sz w:val="28"/>
        <w:szCs w:val="28"/>
      </w:rPr>
      <w:fldChar w:fldCharType="separate"/>
    </w:r>
    <w:r>
      <w:rPr>
        <w:rStyle w:val="10"/>
        <w:rFonts w:ascii="宋体" w:hAnsi="宋体"/>
        <w:sz w:val="28"/>
        <w:szCs w:val="28"/>
      </w:rPr>
      <w:t>- 2 -</w:t>
    </w:r>
    <w:r>
      <w:rPr>
        <w:rStyle w:val="10"/>
        <w:rFonts w:ascii="宋体" w:hAnsi="宋体"/>
        <w:sz w:val="28"/>
        <w:szCs w:val="28"/>
      </w:rPr>
      <w:fldChar w:fldCharType="end"/>
    </w:r>
  </w:p>
  <w:p w14:paraId="1D84BB6A"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E3F"/>
    <w:rsid w:val="00015B46"/>
    <w:rsid w:val="000415F0"/>
    <w:rsid w:val="000421B4"/>
    <w:rsid w:val="00052B19"/>
    <w:rsid w:val="00073B6C"/>
    <w:rsid w:val="000B01E1"/>
    <w:rsid w:val="000D2B0E"/>
    <w:rsid w:val="000D6CC5"/>
    <w:rsid w:val="000E02F1"/>
    <w:rsid w:val="00114645"/>
    <w:rsid w:val="00143C94"/>
    <w:rsid w:val="0016318E"/>
    <w:rsid w:val="001B3E1C"/>
    <w:rsid w:val="001B5A01"/>
    <w:rsid w:val="00212EAA"/>
    <w:rsid w:val="00260A3C"/>
    <w:rsid w:val="00270559"/>
    <w:rsid w:val="002A1964"/>
    <w:rsid w:val="002A3394"/>
    <w:rsid w:val="002A4290"/>
    <w:rsid w:val="002F24E1"/>
    <w:rsid w:val="0034261F"/>
    <w:rsid w:val="0034790C"/>
    <w:rsid w:val="003706BC"/>
    <w:rsid w:val="00382946"/>
    <w:rsid w:val="003B6B02"/>
    <w:rsid w:val="003D32E4"/>
    <w:rsid w:val="003D7FBB"/>
    <w:rsid w:val="004112DF"/>
    <w:rsid w:val="004142C3"/>
    <w:rsid w:val="00447D7D"/>
    <w:rsid w:val="00491B09"/>
    <w:rsid w:val="004B33F4"/>
    <w:rsid w:val="004C708A"/>
    <w:rsid w:val="00511FD7"/>
    <w:rsid w:val="0052634A"/>
    <w:rsid w:val="00530812"/>
    <w:rsid w:val="00536D41"/>
    <w:rsid w:val="0054075F"/>
    <w:rsid w:val="00542E7E"/>
    <w:rsid w:val="00583C5D"/>
    <w:rsid w:val="005957BF"/>
    <w:rsid w:val="005B732B"/>
    <w:rsid w:val="005D0D13"/>
    <w:rsid w:val="005E139E"/>
    <w:rsid w:val="006124E4"/>
    <w:rsid w:val="00626E3B"/>
    <w:rsid w:val="00656631"/>
    <w:rsid w:val="006667C7"/>
    <w:rsid w:val="006A12F4"/>
    <w:rsid w:val="006B42E0"/>
    <w:rsid w:val="0070633F"/>
    <w:rsid w:val="00725122"/>
    <w:rsid w:val="00762FC8"/>
    <w:rsid w:val="007A62C6"/>
    <w:rsid w:val="007E00DF"/>
    <w:rsid w:val="007E7307"/>
    <w:rsid w:val="00857A5B"/>
    <w:rsid w:val="00862895"/>
    <w:rsid w:val="00897DBD"/>
    <w:rsid w:val="008B3914"/>
    <w:rsid w:val="009131FC"/>
    <w:rsid w:val="009173AD"/>
    <w:rsid w:val="00930833"/>
    <w:rsid w:val="0094628D"/>
    <w:rsid w:val="009808A4"/>
    <w:rsid w:val="00991333"/>
    <w:rsid w:val="009D1F86"/>
    <w:rsid w:val="00A2197B"/>
    <w:rsid w:val="00A56684"/>
    <w:rsid w:val="00A628D0"/>
    <w:rsid w:val="00A63AC4"/>
    <w:rsid w:val="00A66136"/>
    <w:rsid w:val="00A72F4D"/>
    <w:rsid w:val="00A9519E"/>
    <w:rsid w:val="00AA4550"/>
    <w:rsid w:val="00AB3857"/>
    <w:rsid w:val="00B32145"/>
    <w:rsid w:val="00B85941"/>
    <w:rsid w:val="00BD0F58"/>
    <w:rsid w:val="00BE6B07"/>
    <w:rsid w:val="00BF7657"/>
    <w:rsid w:val="00C4015A"/>
    <w:rsid w:val="00C52BFA"/>
    <w:rsid w:val="00C53967"/>
    <w:rsid w:val="00C53E4D"/>
    <w:rsid w:val="00CC628C"/>
    <w:rsid w:val="00CD7E3F"/>
    <w:rsid w:val="00CF095B"/>
    <w:rsid w:val="00D451AF"/>
    <w:rsid w:val="00D61518"/>
    <w:rsid w:val="00D74A06"/>
    <w:rsid w:val="00D82B01"/>
    <w:rsid w:val="00DA3023"/>
    <w:rsid w:val="00DA3F42"/>
    <w:rsid w:val="00DA7B2D"/>
    <w:rsid w:val="00E06258"/>
    <w:rsid w:val="00E06C80"/>
    <w:rsid w:val="00E15F4A"/>
    <w:rsid w:val="00E41F50"/>
    <w:rsid w:val="00E8594A"/>
    <w:rsid w:val="00EB4748"/>
    <w:rsid w:val="00EC0A04"/>
    <w:rsid w:val="00F017D5"/>
    <w:rsid w:val="00F01B5C"/>
    <w:rsid w:val="00F159AD"/>
    <w:rsid w:val="00F24344"/>
    <w:rsid w:val="00F41592"/>
    <w:rsid w:val="00F77E7F"/>
    <w:rsid w:val="00F81B14"/>
    <w:rsid w:val="00FF0DEF"/>
    <w:rsid w:val="00FF4462"/>
    <w:rsid w:val="027470C3"/>
    <w:rsid w:val="17CA350F"/>
    <w:rsid w:val="1ACE10C4"/>
    <w:rsid w:val="20D779D8"/>
    <w:rsid w:val="461313D5"/>
    <w:rsid w:val="55CF752A"/>
    <w:rsid w:val="656331AE"/>
    <w:rsid w:val="72D8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/>
    </w:p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link w:val="12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qFormat/>
    <w:uiPriority w:val="0"/>
  </w:style>
  <w:style w:type="character" w:styleId="11">
    <w:name w:val="Hyperlink"/>
    <w:basedOn w:val="9"/>
    <w:unhideWhenUsed/>
    <w:uiPriority w:val="99"/>
    <w:rPr>
      <w:color w:val="0000FF"/>
      <w:u w:val="single"/>
    </w:rPr>
  </w:style>
  <w:style w:type="character" w:customStyle="1" w:styleId="12">
    <w:name w:val="普通(网站) 字符"/>
    <w:link w:val="6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13">
    <w:name w:val="批注框文本 字符"/>
    <w:basedOn w:val="9"/>
    <w:link w:val="3"/>
    <w:qFormat/>
    <w:uiPriority w:val="0"/>
    <w:rPr>
      <w:kern w:val="2"/>
      <w:sz w:val="18"/>
      <w:szCs w:val="18"/>
    </w:rPr>
  </w:style>
  <w:style w:type="paragraph" w:customStyle="1" w:styleId="14">
    <w:name w:val="表格图片"/>
    <w:basedOn w:val="1"/>
    <w:qFormat/>
    <w:uiPriority w:val="0"/>
    <w:pPr>
      <w:spacing w:before="120" w:after="120"/>
      <w:ind w:left="100" w:leftChars="100" w:right="100" w:rightChars="100"/>
      <w:jc w:val="center"/>
    </w:pPr>
    <w:rPr>
      <w:rFonts w:asciiTheme="minorHAnsi" w:hAnsiTheme="minorHAnsi" w:cstheme="minorBidi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932</Words>
  <Characters>1173</Characters>
  <Lines>62</Lines>
  <Paragraphs>47</Paragraphs>
  <TotalTime>0</TotalTime>
  <ScaleCrop>false</ScaleCrop>
  <LinksUpToDate>false</LinksUpToDate>
  <CharactersWithSpaces>1173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2025-04-21T01:02:00Z</dcterms:created>
  <dc:creator>User</dc:creator>
  <cp:lastModifiedBy>王珺瑶</cp:lastModifiedBy>
  <cp:lastPrinted>2018-11-14T01:23:00Z</cp:lastPrinted>
  <dcterms:modified xsi:type="dcterms:W3CDTF">2026-06-22T01:16:10Z</dcterms:modified>
  <dc:title>融规 [2012] 253号                  签发人：郑卫东</dc:title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0788E427820048E9BE7580C91AD2E65B_13</vt:lpwstr>
  </property>
  <property fmtid="{D5CDD505-2E9C-101B-9397-08002B2CF9AE}" pid="4" name="KSOTemplateDocerSaveRecord">
    <vt:lpwstr>eyJoZGlkIjoiNzQ0Mjk0NThmZDNjMjQ2YjlhMzE3Njk0MGY0ODFmNjQiLCJ1c2VySWQiOiIzMzY3NjI0NzYifQ==</vt:lpwstr>
  </property>
</Properties>
</file>