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0768C">
      <w:pPr>
        <w:spacing w:line="520" w:lineRule="exact"/>
        <w:rPr>
          <w:rFonts w:ascii="华文中宋" w:hAnsi="华文中宋" w:eastAsia="华文中宋"/>
          <w:b/>
          <w:bCs/>
          <w:sz w:val="36"/>
          <w:szCs w:val="40"/>
        </w:rPr>
      </w:pPr>
      <w:r>
        <w:rPr>
          <w:rFonts w:hint="eastAsia" w:ascii="华文中宋" w:hAnsi="华文中宋" w:eastAsia="华文中宋"/>
          <w:b/>
          <w:bCs/>
          <w:sz w:val="36"/>
          <w:szCs w:val="40"/>
        </w:rPr>
        <w:t>附件：《福清市玉塘路西侧地块控制性详细规划》</w:t>
      </w:r>
    </w:p>
    <w:p w14:paraId="63948B81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一、主要内容</w:t>
      </w:r>
    </w:p>
    <w:p w14:paraId="54B8C087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1、规划范围</w:t>
      </w:r>
    </w:p>
    <w:p w14:paraId="0AF9884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本次规划区位于龙山街道玉塘路西侧，交通便捷。规划范围东近玉塘路，南靠玉塘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村、西接龙江，北邻瑞云塔，规划用地总面积0.62公顷。</w:t>
      </w:r>
    </w:p>
    <w:p w14:paraId="21ED5C97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、地块使用性质</w:t>
      </w:r>
    </w:p>
    <w:p w14:paraId="2A05D61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地块用地性质分类和代码均采用国标《国土空间调查、规划、用途管制用地用海分类指南》（2023年11月），</w:t>
      </w:r>
      <w:r>
        <w:rPr>
          <w:rFonts w:ascii="仿宋_GB2312" w:eastAsia="仿宋_GB2312"/>
          <w:sz w:val="32"/>
          <w:szCs w:val="32"/>
        </w:rPr>
        <w:t>350181-08-F-32-01</w:t>
      </w:r>
      <w:r>
        <w:rPr>
          <w:rFonts w:hint="eastAsia" w:ascii="仿宋_GB2312" w:eastAsia="仿宋_GB2312"/>
          <w:sz w:val="32"/>
          <w:szCs w:val="32"/>
        </w:rPr>
        <w:t>为公园绿地（</w:t>
      </w:r>
      <w:r>
        <w:rPr>
          <w:rFonts w:ascii="仿宋_GB2312" w:eastAsia="仿宋_GB2312"/>
          <w:sz w:val="32"/>
          <w:szCs w:val="32"/>
        </w:rPr>
        <w:t>1401</w:t>
      </w:r>
      <w:r>
        <w:rPr>
          <w:rFonts w:hint="eastAsia" w:ascii="仿宋_GB2312" w:eastAsia="仿宋_GB2312"/>
          <w:sz w:val="32"/>
          <w:szCs w:val="32"/>
        </w:rPr>
        <w:t>）、</w:t>
      </w:r>
      <w:r>
        <w:rPr>
          <w:rFonts w:ascii="仿宋_GB2312" w:eastAsia="仿宋_GB2312"/>
          <w:sz w:val="32"/>
          <w:szCs w:val="32"/>
        </w:rPr>
        <w:t>350181-08-F-32-03</w:t>
      </w:r>
      <w:r>
        <w:rPr>
          <w:rFonts w:hint="eastAsia" w:ascii="仿宋_GB2312" w:eastAsia="仿宋_GB2312"/>
          <w:sz w:val="32"/>
          <w:szCs w:val="32"/>
        </w:rPr>
        <w:t>为商业用地（</w:t>
      </w:r>
      <w:r>
        <w:rPr>
          <w:rFonts w:ascii="仿宋_GB2312" w:eastAsia="仿宋_GB2312"/>
          <w:sz w:val="32"/>
          <w:szCs w:val="32"/>
        </w:rPr>
        <w:t>0901</w:t>
      </w:r>
      <w:r>
        <w:rPr>
          <w:rFonts w:hint="eastAsia" w:ascii="仿宋_GB2312" w:eastAsia="仿宋_GB2312"/>
          <w:sz w:val="32"/>
          <w:szCs w:val="32"/>
        </w:rPr>
        <w:t>）。</w:t>
      </w:r>
    </w:p>
    <w:p w14:paraId="650E4010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、城市设计引导</w:t>
      </w:r>
    </w:p>
    <w:p w14:paraId="6E5E94C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风貌指引：应充分体现“显山漏水、城景交融”的设计理念，彰显现代建筑的简洁与力量感。最大化将西侧龙江水系与公园景观引入室内，打造通透的视觉通廊。建筑形态宜轻盈舒展，可采用流线型或折线型体量，彰显文化韵味，打破厚重感。建筑临街界面应注重连续性和节奏感，可设置适度的灰空间作为人行缓冲带，强化商业界面的友好度。</w:t>
      </w:r>
    </w:p>
    <w:p w14:paraId="1EEB49E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建筑色彩：遵循“淡雅大气、融入自然”的原则，著色调宜采用米白色、浅木色等暖灰色系，营造温馨、静谧的氛围，局部可采用低饱和的深灰或赭石色点缀，使建筑在公园视角中呈现出“消隐于绿”的效果。</w:t>
      </w:r>
    </w:p>
    <w:p w14:paraId="28D5B1CB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二、规划图纸</w:t>
      </w:r>
    </w:p>
    <w:p w14:paraId="29128972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1、土地利用规划图</w:t>
      </w:r>
    </w:p>
    <w:p w14:paraId="01B2956A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drawing>
          <wp:inline distT="0" distB="0" distL="0" distR="0">
            <wp:extent cx="5030470" cy="3557905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1067" cy="355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D37D3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2、道路交通规划图</w:t>
      </w:r>
    </w:p>
    <w:p w14:paraId="69AA8E61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drawing>
          <wp:inline distT="0" distB="0" distL="0" distR="0">
            <wp:extent cx="5093970" cy="360235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4002" cy="360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9A224">
      <w:pPr>
        <w:ind w:firstLine="643" w:firstLineChars="200"/>
        <w:rPr>
          <w:rFonts w:ascii="仿宋_GB2312" w:eastAsia="仿宋_GB2312"/>
          <w:b/>
          <w:sz w:val="32"/>
          <w:szCs w:val="32"/>
        </w:rPr>
      </w:pPr>
    </w:p>
    <w:p w14:paraId="5B8AC25F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3、地块图则</w:t>
      </w:r>
    </w:p>
    <w:p w14:paraId="3926443F">
      <w:pPr>
        <w:ind w:firstLine="630" w:firstLineChars="300"/>
      </w:pPr>
      <w:r>
        <w:drawing>
          <wp:inline distT="0" distB="0" distL="0" distR="0">
            <wp:extent cx="5070475" cy="358394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0698" cy="3584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05B7C">
    <w:pPr>
      <w:pStyle w:val="4"/>
      <w:framePr w:w="1099" w:wrap="around" w:vAnchor="text" w:hAnchor="page" w:x="8998" w:y="-2"/>
      <w:jc w:val="both"/>
      <w:rPr>
        <w:rStyle w:val="10"/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Style w:val="10"/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- 3 -</w:t>
    </w:r>
    <w:r>
      <w:rPr>
        <w:rStyle w:val="10"/>
        <w:rFonts w:hint="eastAsia"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      </w:t>
    </w:r>
  </w:p>
  <w:p w14:paraId="2562823C">
    <w:pPr>
      <w:pStyle w:val="4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F2988">
    <w:pPr>
      <w:pStyle w:val="4"/>
      <w:framePr w:wrap="around" w:vAnchor="text" w:hAnchor="margin" w:xAlign="outside" w:y="1"/>
      <w:ind w:firstLine="280"/>
      <w:rPr>
        <w:rStyle w:val="10"/>
        <w:rFonts w:ascii="宋体" w:hAnsi="宋体"/>
        <w:sz w:val="28"/>
        <w:szCs w:val="28"/>
      </w:rPr>
    </w:pP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- 4 -</w:t>
    </w:r>
    <w:r>
      <w:rPr>
        <w:rStyle w:val="10"/>
        <w:rFonts w:ascii="宋体" w:hAnsi="宋体"/>
        <w:sz w:val="28"/>
        <w:szCs w:val="28"/>
      </w:rPr>
      <w:fldChar w:fldCharType="end"/>
    </w:r>
  </w:p>
  <w:p w14:paraId="27F92B1D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3F"/>
    <w:rsid w:val="000421B4"/>
    <w:rsid w:val="00073B6C"/>
    <w:rsid w:val="00096720"/>
    <w:rsid w:val="000A4869"/>
    <w:rsid w:val="000B01E1"/>
    <w:rsid w:val="000C115F"/>
    <w:rsid w:val="000D2B0E"/>
    <w:rsid w:val="001673DF"/>
    <w:rsid w:val="001B42A0"/>
    <w:rsid w:val="001D470C"/>
    <w:rsid w:val="002533F8"/>
    <w:rsid w:val="00260A3C"/>
    <w:rsid w:val="00270559"/>
    <w:rsid w:val="00282151"/>
    <w:rsid w:val="002A1D45"/>
    <w:rsid w:val="002A4290"/>
    <w:rsid w:val="002A4B13"/>
    <w:rsid w:val="002F24E1"/>
    <w:rsid w:val="0032504B"/>
    <w:rsid w:val="0034261F"/>
    <w:rsid w:val="0034790C"/>
    <w:rsid w:val="003706BC"/>
    <w:rsid w:val="00382946"/>
    <w:rsid w:val="003D32E4"/>
    <w:rsid w:val="003E1BCA"/>
    <w:rsid w:val="00410756"/>
    <w:rsid w:val="004112DF"/>
    <w:rsid w:val="00423A25"/>
    <w:rsid w:val="00443E17"/>
    <w:rsid w:val="004A0FE4"/>
    <w:rsid w:val="004B33F4"/>
    <w:rsid w:val="005308DF"/>
    <w:rsid w:val="00536D41"/>
    <w:rsid w:val="0054075F"/>
    <w:rsid w:val="00542E7E"/>
    <w:rsid w:val="00583C5D"/>
    <w:rsid w:val="005957BF"/>
    <w:rsid w:val="005E139E"/>
    <w:rsid w:val="006124E4"/>
    <w:rsid w:val="006219E1"/>
    <w:rsid w:val="00626E3B"/>
    <w:rsid w:val="006667C7"/>
    <w:rsid w:val="006A12F4"/>
    <w:rsid w:val="006B42E0"/>
    <w:rsid w:val="006E3004"/>
    <w:rsid w:val="006F1F4A"/>
    <w:rsid w:val="0070633F"/>
    <w:rsid w:val="007A62C6"/>
    <w:rsid w:val="007E00DF"/>
    <w:rsid w:val="007E7307"/>
    <w:rsid w:val="00840977"/>
    <w:rsid w:val="00866033"/>
    <w:rsid w:val="00866968"/>
    <w:rsid w:val="00897DBD"/>
    <w:rsid w:val="008B3914"/>
    <w:rsid w:val="008C47CD"/>
    <w:rsid w:val="0090377D"/>
    <w:rsid w:val="009131FC"/>
    <w:rsid w:val="009173AD"/>
    <w:rsid w:val="00930833"/>
    <w:rsid w:val="009A008B"/>
    <w:rsid w:val="009B7481"/>
    <w:rsid w:val="009D1F86"/>
    <w:rsid w:val="009F562C"/>
    <w:rsid w:val="00A15089"/>
    <w:rsid w:val="00A628D0"/>
    <w:rsid w:val="00A66136"/>
    <w:rsid w:val="00A72F4D"/>
    <w:rsid w:val="00A805A1"/>
    <w:rsid w:val="00A9519E"/>
    <w:rsid w:val="00AB3857"/>
    <w:rsid w:val="00AF5AFF"/>
    <w:rsid w:val="00B81B76"/>
    <w:rsid w:val="00B85941"/>
    <w:rsid w:val="00BF7657"/>
    <w:rsid w:val="00C4015A"/>
    <w:rsid w:val="00C53967"/>
    <w:rsid w:val="00C53E4D"/>
    <w:rsid w:val="00CD7E3F"/>
    <w:rsid w:val="00D451AF"/>
    <w:rsid w:val="00D61518"/>
    <w:rsid w:val="00D74A06"/>
    <w:rsid w:val="00D82B01"/>
    <w:rsid w:val="00DB32D4"/>
    <w:rsid w:val="00DB4B36"/>
    <w:rsid w:val="00E06258"/>
    <w:rsid w:val="00E15F4A"/>
    <w:rsid w:val="00E416AE"/>
    <w:rsid w:val="00E41F50"/>
    <w:rsid w:val="00E8594A"/>
    <w:rsid w:val="00F017D5"/>
    <w:rsid w:val="00F159AD"/>
    <w:rsid w:val="00F24344"/>
    <w:rsid w:val="00F72674"/>
    <w:rsid w:val="00F81B14"/>
    <w:rsid w:val="00FE4D58"/>
    <w:rsid w:val="00FF118B"/>
    <w:rsid w:val="00FF4462"/>
    <w:rsid w:val="027470C3"/>
    <w:rsid w:val="17CA350F"/>
    <w:rsid w:val="1ACE10C4"/>
    <w:rsid w:val="461313D5"/>
    <w:rsid w:val="656331AE"/>
    <w:rsid w:val="682C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link w:val="1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普通(网站) 字符"/>
    <w:link w:val="6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2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customStyle="1" w:styleId="13">
    <w:name w:val="表格图片"/>
    <w:basedOn w:val="1"/>
    <w:qFormat/>
    <w:uiPriority w:val="0"/>
    <w:pPr>
      <w:spacing w:before="120" w:after="120"/>
      <w:ind w:left="100" w:leftChars="100" w:right="100" w:rightChars="100"/>
      <w:jc w:val="center"/>
    </w:pPr>
    <w:rPr>
      <w:rFonts w:asciiTheme="minorHAnsi" w:hAnsiTheme="minorHAnsi" w:cstheme="minorBidi"/>
      <w:szCs w:val="21"/>
    </w:rPr>
  </w:style>
  <w:style w:type="paragraph" w:customStyle="1" w:styleId="14">
    <w:name w:val="Normal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718</Words>
  <Characters>825</Characters>
  <Lines>8</Lines>
  <Paragraphs>2</Paragraphs>
  <TotalTime>4</TotalTime>
  <ScaleCrop>false</ScaleCrop>
  <LinksUpToDate>false</LinksUpToDate>
  <CharactersWithSpaces>830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2022-05-27T08:12:00Z</dcterms:created>
  <dc:creator>User</dc:creator>
  <cp:lastModifiedBy>王珺瑶</cp:lastModifiedBy>
  <cp:lastPrinted>2018-11-14T01:23:00Z</cp:lastPrinted>
  <dcterms:modified xsi:type="dcterms:W3CDTF">2026-06-04T08:33:22Z</dcterms:modified>
  <dc:title>融规 [2012] 253号                  签发人：郑卫东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D28EFB8E72494307A35452268A74AA39_13</vt:lpwstr>
  </property>
  <property fmtid="{D5CDD505-2E9C-101B-9397-08002B2CF9AE}" pid="4" name="KSOTemplateDocerSaveRecord">
    <vt:lpwstr>eyJoZGlkIjoiNzQ0Mjk0NThmZDNjMjQ2YjlhMzE3Njk0MGY0ODFmNjQiLCJ1c2VySWQiOiIzMzY3NjI0NzYifQ==</vt:lpwstr>
  </property>
</Properties>
</file>