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10768C">
      <w:pPr>
        <w:spacing w:line="520" w:lineRule="exact"/>
        <w:rPr>
          <w:rFonts w:ascii="华文中宋" w:hAnsi="华文中宋" w:eastAsia="华文中宋"/>
          <w:b/>
          <w:bCs/>
          <w:sz w:val="36"/>
          <w:szCs w:val="40"/>
        </w:rPr>
      </w:pPr>
      <w:bookmarkStart w:id="0" w:name="_GoBack"/>
      <w:r>
        <w:rPr>
          <w:rFonts w:hint="eastAsia" w:ascii="华文中宋" w:hAnsi="华文中宋" w:eastAsia="华文中宋"/>
          <w:b/>
          <w:bCs/>
          <w:sz w:val="36"/>
          <w:szCs w:val="40"/>
        </w:rPr>
        <w:t>附件：福清350181-07-A、B、C、D、E、F、G、08-H基本单元控制性详细规划修编局部地段调整论证主要内容及规划图纸</w:t>
      </w:r>
    </w:p>
    <w:bookmarkEnd w:id="0"/>
    <w:p w14:paraId="47066ED5">
      <w:pPr>
        <w:rPr>
          <w:rFonts w:hint="eastAsia" w:ascii="仿宋_GB2312" w:eastAsia="仿宋_GB2312"/>
          <w:b/>
          <w:sz w:val="32"/>
          <w:szCs w:val="32"/>
        </w:rPr>
      </w:pPr>
    </w:p>
    <w:p w14:paraId="63948B81">
      <w:pPr>
        <w:rPr>
          <w:rFonts w:ascii="仿宋_GB2312" w:eastAsia="仿宋_GB2312"/>
          <w:b/>
          <w:sz w:val="32"/>
          <w:szCs w:val="32"/>
        </w:rPr>
      </w:pPr>
      <w:r>
        <w:rPr>
          <w:rFonts w:hint="eastAsia" w:ascii="仿宋_GB2312" w:eastAsia="仿宋_GB2312"/>
          <w:b/>
          <w:sz w:val="32"/>
          <w:szCs w:val="32"/>
        </w:rPr>
        <w:t>一、主要内容</w:t>
      </w:r>
    </w:p>
    <w:p w14:paraId="54B8C087">
      <w:pPr>
        <w:ind w:firstLine="643" w:firstLineChars="200"/>
        <w:rPr>
          <w:rFonts w:ascii="仿宋_GB2312" w:eastAsia="仿宋_GB2312"/>
          <w:b/>
          <w:sz w:val="32"/>
          <w:szCs w:val="32"/>
        </w:rPr>
      </w:pPr>
      <w:r>
        <w:rPr>
          <w:rFonts w:hint="eastAsia" w:ascii="仿宋_GB2312" w:eastAsia="仿宋_GB2312"/>
          <w:b/>
          <w:sz w:val="32"/>
          <w:szCs w:val="32"/>
        </w:rPr>
        <w:t>1、规划范围</w:t>
      </w:r>
    </w:p>
    <w:p w14:paraId="385E7217">
      <w:pPr>
        <w:ind w:firstLine="640" w:firstLineChars="200"/>
        <w:rPr>
          <w:rFonts w:ascii="仿宋_GB2312" w:eastAsia="仿宋_GB2312"/>
          <w:sz w:val="32"/>
          <w:szCs w:val="32"/>
        </w:rPr>
      </w:pPr>
      <w:r>
        <w:rPr>
          <w:rFonts w:hint="eastAsia" w:ascii="仿宋_GB2312" w:eastAsia="仿宋_GB2312"/>
          <w:sz w:val="32"/>
          <w:szCs w:val="32"/>
        </w:rPr>
        <w:t>项目位于福清市玉屏街道洪宽大道东侧，玉屏山西侧，南距福清市人民政府约2公里，距福清老城区约1公里</w:t>
      </w:r>
      <w:r>
        <w:rPr>
          <w:rFonts w:hint="eastAsia" w:ascii="仿宋_GB2312" w:hAnsi="等线" w:eastAsia="仿宋_GB2312"/>
          <w:sz w:val="32"/>
          <w:szCs w:val="32"/>
        </w:rPr>
        <w:t>，属于350181-</w:t>
      </w:r>
      <w:r>
        <w:rPr>
          <w:rFonts w:ascii="仿宋_GB2312" w:hAnsi="等线" w:eastAsia="仿宋_GB2312"/>
          <w:sz w:val="32"/>
          <w:szCs w:val="32"/>
        </w:rPr>
        <w:t>07</w:t>
      </w:r>
      <w:r>
        <w:rPr>
          <w:rFonts w:hint="eastAsia" w:ascii="仿宋_GB2312" w:hAnsi="等线" w:eastAsia="仿宋_GB2312"/>
          <w:sz w:val="32"/>
          <w:szCs w:val="32"/>
        </w:rPr>
        <w:t>-</w:t>
      </w:r>
      <w:r>
        <w:rPr>
          <w:rFonts w:ascii="仿宋_GB2312" w:hAnsi="等线" w:eastAsia="仿宋_GB2312"/>
          <w:sz w:val="32"/>
          <w:szCs w:val="32"/>
        </w:rPr>
        <w:t>C</w:t>
      </w:r>
      <w:r>
        <w:rPr>
          <w:rFonts w:hint="eastAsia" w:ascii="仿宋_GB2312" w:hAnsi="等线" w:eastAsia="仿宋_GB2312"/>
          <w:sz w:val="32"/>
          <w:szCs w:val="32"/>
        </w:rPr>
        <w:t>基本单元</w:t>
      </w:r>
      <w:r>
        <w:rPr>
          <w:rFonts w:hint="eastAsia" w:ascii="仿宋_GB2312" w:eastAsia="仿宋_GB2312"/>
          <w:sz w:val="32"/>
          <w:szCs w:val="32"/>
        </w:rPr>
        <w:t>。</w:t>
      </w:r>
    </w:p>
    <w:p w14:paraId="1DA7F19E">
      <w:pPr>
        <w:ind w:firstLine="640" w:firstLineChars="200"/>
        <w:rPr>
          <w:rFonts w:ascii="仿宋_GB2312" w:eastAsia="仿宋_GB2312"/>
          <w:sz w:val="32"/>
          <w:szCs w:val="32"/>
        </w:rPr>
      </w:pPr>
      <w:r>
        <w:rPr>
          <w:rFonts w:hint="eastAsia" w:ascii="仿宋_GB2312" w:hAnsi="等线" w:eastAsia="仿宋_GB2312"/>
          <w:sz w:val="32"/>
          <w:szCs w:val="32"/>
        </w:rPr>
        <w:t>涉及拟调整地块</w:t>
      </w:r>
      <w:r>
        <w:rPr>
          <w:rFonts w:ascii="仿宋_GB2312" w:hAnsi="等线" w:eastAsia="仿宋_GB2312"/>
          <w:sz w:val="32"/>
          <w:szCs w:val="32"/>
        </w:rPr>
        <w:t>4</w:t>
      </w:r>
      <w:r>
        <w:rPr>
          <w:rFonts w:hint="eastAsia" w:ascii="仿宋_GB2312" w:hAnsi="等线" w:eastAsia="仿宋_GB2312"/>
          <w:sz w:val="32"/>
          <w:szCs w:val="32"/>
        </w:rPr>
        <w:t>块，面积</w:t>
      </w:r>
      <w:r>
        <w:rPr>
          <w:rFonts w:ascii="仿宋_GB2312" w:hAnsi="等线" w:eastAsia="仿宋_GB2312"/>
          <w:sz w:val="32"/>
          <w:szCs w:val="32"/>
        </w:rPr>
        <w:t>5.20</w:t>
      </w:r>
      <w:r>
        <w:rPr>
          <w:rFonts w:hint="eastAsia" w:ascii="仿宋_GB2312" w:hAnsi="等线" w:eastAsia="仿宋_GB2312"/>
          <w:sz w:val="32"/>
          <w:szCs w:val="32"/>
        </w:rPr>
        <w:t>公顷，涉及原地块编号为：</w:t>
      </w:r>
      <w:r>
        <w:rPr>
          <w:rFonts w:hint="eastAsia" w:ascii="仿宋_GB2312" w:eastAsia="仿宋_GB2312"/>
          <w:sz w:val="32"/>
          <w:szCs w:val="32"/>
        </w:rPr>
        <w:t>07-C-26、07-C-29、07-C-30、07-C-31。</w:t>
      </w:r>
    </w:p>
    <w:p w14:paraId="21ED5C97">
      <w:pPr>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、用地性质</w:t>
      </w:r>
      <w:r>
        <w:rPr>
          <w:rFonts w:ascii="仿宋_GB2312" w:eastAsia="仿宋_GB2312"/>
          <w:b/>
          <w:sz w:val="32"/>
          <w:szCs w:val="32"/>
        </w:rPr>
        <w:t>调整</w:t>
      </w:r>
    </w:p>
    <w:p w14:paraId="32412631">
      <w:pPr>
        <w:ind w:firstLine="640" w:firstLineChars="200"/>
        <w:rPr>
          <w:rFonts w:ascii="仿宋_GB2312" w:eastAsia="仿宋_GB2312"/>
          <w:sz w:val="32"/>
          <w:szCs w:val="32"/>
        </w:rPr>
      </w:pPr>
      <w:r>
        <w:rPr>
          <w:rFonts w:hint="eastAsia" w:ascii="仿宋_GB2312" w:eastAsia="仿宋_GB2312"/>
          <w:sz w:val="32"/>
          <w:szCs w:val="32"/>
        </w:rPr>
        <w:t>地块用地性质分类和代码均采用国标《国土空间调查</w:t>
      </w:r>
      <w:r>
        <w:rPr>
          <w:rFonts w:ascii="仿宋_GB2312" w:eastAsia="仿宋_GB2312"/>
          <w:sz w:val="32"/>
          <w:szCs w:val="32"/>
        </w:rPr>
        <w:t>、规划、用途管制用地</w:t>
      </w:r>
      <w:r>
        <w:rPr>
          <w:rFonts w:hint="eastAsia" w:ascii="仿宋_GB2312" w:eastAsia="仿宋_GB2312"/>
          <w:sz w:val="32"/>
          <w:szCs w:val="32"/>
        </w:rPr>
        <w:t>用</w:t>
      </w:r>
      <w:r>
        <w:rPr>
          <w:rFonts w:ascii="仿宋_GB2312" w:eastAsia="仿宋_GB2312"/>
          <w:sz w:val="32"/>
          <w:szCs w:val="32"/>
        </w:rPr>
        <w:t>海</w:t>
      </w:r>
      <w:r>
        <w:rPr>
          <w:rFonts w:hint="eastAsia" w:ascii="仿宋_GB2312" w:eastAsia="仿宋_GB2312"/>
          <w:sz w:val="32"/>
          <w:szCs w:val="32"/>
        </w:rPr>
        <w:t>分类</w:t>
      </w:r>
      <w:r>
        <w:rPr>
          <w:rFonts w:ascii="仿宋_GB2312" w:eastAsia="仿宋_GB2312"/>
          <w:sz w:val="32"/>
          <w:szCs w:val="32"/>
        </w:rPr>
        <w:t>指南</w:t>
      </w:r>
      <w:r>
        <w:rPr>
          <w:rFonts w:hint="eastAsia" w:ascii="仿宋_GB2312" w:eastAsia="仿宋_GB2312"/>
          <w:sz w:val="32"/>
          <w:szCs w:val="32"/>
        </w:rPr>
        <w:t>》（2023年11月</w:t>
      </w:r>
      <w:r>
        <w:rPr>
          <w:rFonts w:ascii="仿宋_GB2312" w:eastAsia="仿宋_GB2312"/>
          <w:sz w:val="32"/>
          <w:szCs w:val="32"/>
        </w:rPr>
        <w:t>）</w:t>
      </w:r>
      <w:r>
        <w:rPr>
          <w:rFonts w:hint="eastAsia" w:ascii="仿宋_GB2312" w:eastAsia="仿宋_GB2312"/>
          <w:sz w:val="32"/>
          <w:szCs w:val="32"/>
        </w:rPr>
        <w:t>，原控规（《福清350181-07-A、B、C、D、E、F、G、08-H基本单元控制性详细规划修编》）中地块07-C-26用地性质公园绿地（1401）调整为商住混合用地（0701+0901）、公园绿地（1401）；地块07-C-29用地性质社会停车场用地（120803）调整为商住混合用地（0701+0901）、公园绿地（1401）、城镇村道路用地（1207）；地块07-C-30用地性质二类城镇住宅用地（070102）调整为城镇住宅用地（0701）、公园绿地（1401）、城镇村道路用地（1207）；地块07-C-31用地性质商住混合用地（070102+0901）调整为商住混合用地（0701+0901）、公园绿地（1401）、城镇村道路用地（1207）。</w:t>
      </w:r>
    </w:p>
    <w:p w14:paraId="4DFB27E2">
      <w:pPr>
        <w:ind w:firstLine="643" w:firstLineChars="200"/>
        <w:rPr>
          <w:rFonts w:hint="eastAsia" w:ascii="仿宋_GB2312" w:eastAsia="仿宋_GB2312"/>
          <w:b/>
          <w:sz w:val="32"/>
          <w:szCs w:val="32"/>
          <w:lang w:val="en-US" w:eastAsia="zh-CN"/>
        </w:rPr>
      </w:pPr>
    </w:p>
    <w:p w14:paraId="011C6052">
      <w:pPr>
        <w:ind w:firstLine="643" w:firstLineChars="200"/>
        <w:rPr>
          <w:rFonts w:ascii="仿宋_GB2312" w:eastAsia="仿宋_GB2312"/>
          <w:b/>
          <w:sz w:val="32"/>
          <w:szCs w:val="32"/>
        </w:rPr>
      </w:pPr>
      <w:r>
        <w:rPr>
          <w:rFonts w:hint="eastAsia" w:ascii="仿宋_GB2312" w:eastAsia="仿宋_GB2312"/>
          <w:b/>
          <w:sz w:val="32"/>
          <w:szCs w:val="32"/>
          <w:lang w:val="en-US" w:eastAsia="zh-CN"/>
        </w:rPr>
        <w:t>3</w:t>
      </w:r>
      <w:r>
        <w:rPr>
          <w:rFonts w:hint="eastAsia" w:ascii="仿宋_GB2312" w:eastAsia="仿宋_GB2312"/>
          <w:b/>
          <w:sz w:val="32"/>
          <w:szCs w:val="32"/>
        </w:rPr>
        <w:t>、开发强度合理性</w:t>
      </w:r>
    </w:p>
    <w:p w14:paraId="30CA2F43">
      <w:pPr>
        <w:ind w:firstLine="640" w:firstLineChars="200"/>
        <w:rPr>
          <w:rFonts w:ascii="仿宋_GB2312" w:eastAsia="仿宋_GB2312"/>
          <w:sz w:val="32"/>
          <w:szCs w:val="32"/>
        </w:rPr>
      </w:pPr>
      <w:r>
        <w:rPr>
          <w:rFonts w:hint="eastAsia" w:ascii="仿宋_GB2312" w:eastAsia="仿宋_GB2312"/>
          <w:sz w:val="32"/>
          <w:szCs w:val="32"/>
        </w:rPr>
        <w:t>用地指标符合《福建省城市规划管理技术规定》《公园设计规范》等。</w:t>
      </w:r>
    </w:p>
    <w:p w14:paraId="221E24B6">
      <w:pPr>
        <w:ind w:firstLine="640" w:firstLineChars="200"/>
        <w:rPr>
          <w:rFonts w:ascii="仿宋_GB2312" w:eastAsia="仿宋_GB2312"/>
          <w:sz w:val="32"/>
          <w:szCs w:val="32"/>
        </w:rPr>
      </w:pPr>
    </w:p>
    <w:p w14:paraId="28D5B1CB">
      <w:pPr>
        <w:ind w:firstLine="643" w:firstLineChars="200"/>
        <w:rPr>
          <w:rFonts w:ascii="仿宋_GB2312" w:eastAsia="仿宋_GB2312"/>
          <w:sz w:val="32"/>
          <w:szCs w:val="32"/>
        </w:rPr>
      </w:pPr>
      <w:r>
        <w:rPr>
          <w:rFonts w:hint="eastAsia" w:ascii="仿宋_GB2312" w:eastAsia="仿宋_GB2312"/>
          <w:b/>
          <w:sz w:val="32"/>
          <w:szCs w:val="32"/>
        </w:rPr>
        <w:t>二、规划图纸</w:t>
      </w:r>
    </w:p>
    <w:p w14:paraId="4250CDE3">
      <w:pPr>
        <w:ind w:firstLine="643" w:firstLineChars="200"/>
        <w:rPr>
          <w:rFonts w:hint="eastAsia" w:ascii="仿宋_GB2312" w:eastAsia="仿宋_GB2312"/>
          <w:b/>
          <w:sz w:val="32"/>
          <w:szCs w:val="32"/>
        </w:rPr>
      </w:pPr>
      <w:r>
        <w:rPr>
          <w:rFonts w:hint="eastAsia" w:ascii="仿宋_GB2312" w:eastAsia="仿宋_GB2312"/>
          <w:b/>
          <w:sz w:val="32"/>
          <w:szCs w:val="32"/>
        </w:rPr>
        <w:t>调整土地使用规划图</w:t>
      </w:r>
    </w:p>
    <w:p w14:paraId="05D7E113">
      <w:pPr>
        <w:ind w:firstLine="643" w:firstLineChars="200"/>
        <w:rPr>
          <w:rFonts w:hint="eastAsia" w:ascii="仿宋_GB2312" w:eastAsia="仿宋_GB2312"/>
          <w:b/>
          <w:sz w:val="32"/>
          <w:szCs w:val="32"/>
        </w:rPr>
      </w:pPr>
    </w:p>
    <w:p w14:paraId="630643D0">
      <w:pPr>
        <w:ind w:firstLine="643" w:firstLineChars="200"/>
        <w:rPr>
          <w:rFonts w:hint="eastAsia" w:ascii="仿宋_GB2312" w:eastAsia="仿宋_GB2312"/>
          <w:b/>
          <w:sz w:val="32"/>
          <w:szCs w:val="32"/>
        </w:rPr>
      </w:pPr>
      <w:r>
        <w:rPr>
          <w:rFonts w:ascii="仿宋_GB2312" w:eastAsia="仿宋_GB2312"/>
          <w:b/>
          <w:sz w:val="32"/>
          <w:szCs w:val="32"/>
        </w:rPr>
        <w:drawing>
          <wp:anchor distT="0" distB="0" distL="0" distR="0" simplePos="0" relativeHeight="251659264" behindDoc="0" locked="0" layoutInCell="1" allowOverlap="1">
            <wp:simplePos x="0" y="0"/>
            <wp:positionH relativeFrom="column">
              <wp:posOffset>-489585</wp:posOffset>
            </wp:positionH>
            <wp:positionV relativeFrom="paragraph">
              <wp:posOffset>252095</wp:posOffset>
            </wp:positionV>
            <wp:extent cx="6335395" cy="4531995"/>
            <wp:effectExtent l="0" t="0" r="825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r="49928"/>
                    <a:stretch>
                      <a:fillRect/>
                    </a:stretch>
                  </pic:blipFill>
                  <pic:spPr>
                    <a:xfrm>
                      <a:off x="0" y="0"/>
                      <a:ext cx="6335395" cy="4531995"/>
                    </a:xfrm>
                    <a:prstGeom prst="rect">
                      <a:avLst/>
                    </a:prstGeom>
                    <a:noFill/>
                  </pic:spPr>
                </pic:pic>
              </a:graphicData>
            </a:graphic>
          </wp:anchor>
        </w:drawing>
      </w:r>
    </w:p>
    <w:p w14:paraId="024BA226">
      <w:pPr>
        <w:ind w:firstLine="643" w:firstLineChars="200"/>
        <w:rPr>
          <w:rFonts w:hint="eastAsia" w:ascii="仿宋_GB2312" w:eastAsia="仿宋_GB2312"/>
          <w:b/>
          <w:sz w:val="32"/>
          <w:szCs w:val="32"/>
        </w:rPr>
      </w:pPr>
      <w:r>
        <w:rPr>
          <w:rFonts w:ascii="仿宋_GB2312" w:eastAsia="仿宋_GB2312"/>
          <w:b/>
          <w:sz w:val="32"/>
          <w:szCs w:val="32"/>
        </w:rPr>
        <w:drawing>
          <wp:anchor distT="0" distB="0" distL="0" distR="0" simplePos="0" relativeHeight="251660288" behindDoc="0" locked="0" layoutInCell="1" allowOverlap="1">
            <wp:simplePos x="0" y="0"/>
            <wp:positionH relativeFrom="column">
              <wp:posOffset>-419100</wp:posOffset>
            </wp:positionH>
            <wp:positionV relativeFrom="paragraph">
              <wp:posOffset>298450</wp:posOffset>
            </wp:positionV>
            <wp:extent cx="6229985" cy="4565650"/>
            <wp:effectExtent l="0" t="0" r="1841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l="49855"/>
                    <a:stretch>
                      <a:fillRect/>
                    </a:stretch>
                  </pic:blipFill>
                  <pic:spPr>
                    <a:xfrm>
                      <a:off x="0" y="0"/>
                      <a:ext cx="6229985" cy="4565650"/>
                    </a:xfrm>
                    <a:prstGeom prst="rect">
                      <a:avLst/>
                    </a:prstGeom>
                    <a:noFill/>
                  </pic:spPr>
                </pic:pic>
              </a:graphicData>
            </a:graphic>
          </wp:anchor>
        </w:drawing>
      </w:r>
    </w:p>
    <w:p w14:paraId="0BA887F9">
      <w:pPr>
        <w:ind w:firstLine="643" w:firstLineChars="200"/>
        <w:rPr>
          <w:rFonts w:hint="eastAsia" w:ascii="仿宋_GB2312" w:eastAsia="仿宋_GB2312"/>
          <w:b/>
          <w:sz w:val="32"/>
          <w:szCs w:val="32"/>
        </w:rPr>
      </w:pPr>
    </w:p>
    <w:p w14:paraId="76D2729C">
      <w:pPr>
        <w:ind w:firstLine="643" w:firstLineChars="200"/>
        <w:rPr>
          <w:rFonts w:hint="eastAsia" w:ascii="仿宋_GB2312" w:eastAsia="仿宋_GB2312"/>
          <w:b/>
          <w:sz w:val="32"/>
          <w:szCs w:val="32"/>
        </w:rPr>
      </w:pPr>
    </w:p>
    <w:p w14:paraId="751D93E2">
      <w:pPr>
        <w:ind w:firstLine="643" w:firstLineChars="200"/>
        <w:rPr>
          <w:rFonts w:hint="eastAsia" w:ascii="仿宋_GB2312" w:eastAsia="仿宋_GB2312"/>
          <w:b/>
          <w:sz w:val="32"/>
          <w:szCs w:val="32"/>
        </w:rPr>
      </w:pPr>
    </w:p>
    <w:p w14:paraId="5AD77845">
      <w:pPr>
        <w:ind w:firstLine="643" w:firstLineChars="200"/>
        <w:rPr>
          <w:rFonts w:hint="eastAsia" w:ascii="仿宋_GB2312" w:eastAsia="仿宋_GB2312"/>
          <w:b/>
          <w:sz w:val="32"/>
          <w:szCs w:val="32"/>
        </w:rPr>
      </w:pPr>
    </w:p>
    <w:p w14:paraId="22D23CC3">
      <w:pPr>
        <w:ind w:firstLine="643" w:firstLineChars="200"/>
        <w:rPr>
          <w:rFonts w:hint="eastAsia" w:ascii="仿宋_GB2312" w:eastAsia="仿宋_GB2312"/>
          <w:b/>
          <w:sz w:val="32"/>
          <w:szCs w:val="32"/>
        </w:rPr>
      </w:pPr>
    </w:p>
    <w:p w14:paraId="534D670F">
      <w:pPr>
        <w:ind w:firstLine="643" w:firstLineChars="200"/>
        <w:rPr>
          <w:rFonts w:hint="eastAsia" w:ascii="仿宋_GB2312" w:eastAsia="仿宋_GB2312"/>
          <w:b/>
          <w:sz w:val="32"/>
          <w:szCs w:val="32"/>
        </w:rPr>
      </w:pPr>
    </w:p>
    <w:p w14:paraId="4B7CE0C1">
      <w:pPr>
        <w:rPr>
          <w:rFonts w:ascii="仿宋_GB2312" w:eastAsia="仿宋_GB2312"/>
          <w:b/>
          <w:sz w:val="32"/>
          <w:szCs w:val="32"/>
        </w:rPr>
      </w:pPr>
    </w:p>
    <w:p w14:paraId="5AE63431">
      <w:pPr>
        <w:rPr>
          <w:rFonts w:ascii="仿宋_GB2312" w:eastAsia="仿宋_GB2312"/>
          <w:b/>
          <w:sz w:val="32"/>
          <w:szCs w:val="32"/>
        </w:rPr>
      </w:pPr>
    </w:p>
    <w:sectPr>
      <w:footerReference r:id="rId3" w:type="default"/>
      <w:footerReference r:id="rId4" w:type="even"/>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Batang">
    <w:altName w:val="Malgun Gothic"/>
    <w:panose1 w:val="02030600000101010101"/>
    <w:charset w:val="81"/>
    <w:family w:val="roman"/>
    <w:pitch w:val="default"/>
    <w:sig w:usb0="00000000" w:usb1="00000000" w:usb2="00000030" w:usb3="00000000" w:csb0="0008009F" w:csb1="00000000"/>
  </w:font>
  <w:font w:name="바탕">
    <w:altName w:val="AMGDT"/>
    <w:panose1 w:val="00000000000000000000"/>
    <w:charset w:val="00"/>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05B7C">
    <w:pPr>
      <w:pStyle w:val="4"/>
      <w:framePr w:w="1099" w:wrap="around" w:vAnchor="text" w:hAnchor="page" w:x="8998" w:y="-2"/>
      <w:jc w:val="both"/>
      <w:rPr>
        <w:rStyle w:val="9"/>
        <w:rFonts w:ascii="宋体" w:hAnsi="宋体"/>
        <w:sz w:val="28"/>
        <w:szCs w:val="28"/>
      </w:rPr>
    </w:pPr>
    <w:r>
      <w:rPr>
        <w:rStyle w:val="9"/>
        <w:rFonts w:hint="eastAsia" w:ascii="宋体" w:hAnsi="宋体"/>
        <w:sz w:val="28"/>
        <w:szCs w:val="28"/>
      </w:rPr>
      <w:fldChar w:fldCharType="begin"/>
    </w:r>
    <w:r>
      <w:rPr>
        <w:rStyle w:val="9"/>
        <w:rFonts w:hint="eastAsia" w:ascii="宋体" w:hAnsi="宋体"/>
        <w:sz w:val="28"/>
        <w:szCs w:val="28"/>
      </w:rPr>
      <w:instrText xml:space="preserve">PAGE  </w:instrText>
    </w:r>
    <w:r>
      <w:rPr>
        <w:rStyle w:val="9"/>
        <w:rFonts w:hint="eastAsia" w:ascii="宋体" w:hAnsi="宋体"/>
        <w:sz w:val="28"/>
        <w:szCs w:val="28"/>
      </w:rPr>
      <w:fldChar w:fldCharType="separate"/>
    </w:r>
    <w:r>
      <w:rPr>
        <w:rStyle w:val="9"/>
        <w:rFonts w:ascii="宋体" w:hAnsi="宋体"/>
        <w:sz w:val="28"/>
        <w:szCs w:val="28"/>
      </w:rPr>
      <w:t>- 1 -</w:t>
    </w:r>
    <w:r>
      <w:rPr>
        <w:rStyle w:val="9"/>
        <w:rFonts w:hint="eastAsia" w:ascii="宋体" w:hAnsi="宋体"/>
        <w:sz w:val="28"/>
        <w:szCs w:val="28"/>
      </w:rPr>
      <w:fldChar w:fldCharType="end"/>
    </w:r>
    <w:r>
      <w:rPr>
        <w:rStyle w:val="9"/>
        <w:rFonts w:hint="eastAsia" w:ascii="宋体" w:hAnsi="宋体"/>
        <w:sz w:val="28"/>
        <w:szCs w:val="28"/>
      </w:rPr>
      <w:t xml:space="preserve">       </w:t>
    </w:r>
  </w:p>
  <w:p w14:paraId="2562823C">
    <w:pPr>
      <w:pStyle w:val="4"/>
      <w:ind w:right="360" w:firstLine="360"/>
      <w:rPr>
        <w:rFonts w:ascii="仿宋_GB2312" w:eastAsia="仿宋_GB2312"/>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2988">
    <w:pPr>
      <w:pStyle w:val="4"/>
      <w:framePr w:wrap="around" w:vAnchor="text" w:hAnchor="margin" w:xAlign="outside" w:y="1"/>
      <w:ind w:firstLine="280"/>
      <w:rPr>
        <w:rStyle w:val="9"/>
        <w:rFonts w:ascii="宋体" w:hAnsi="宋体"/>
        <w:sz w:val="28"/>
        <w:szCs w:val="28"/>
      </w:rPr>
    </w:pPr>
    <w:r>
      <w:rPr>
        <w:rStyle w:val="9"/>
        <w:rFonts w:ascii="宋体" w:hAnsi="宋体"/>
        <w:sz w:val="28"/>
        <w:szCs w:val="28"/>
      </w:rPr>
      <w:fldChar w:fldCharType="begin"/>
    </w:r>
    <w:r>
      <w:rPr>
        <w:rStyle w:val="9"/>
        <w:rFonts w:ascii="宋体" w:hAnsi="宋体"/>
        <w:sz w:val="28"/>
        <w:szCs w:val="28"/>
      </w:rPr>
      <w:instrText xml:space="preserve">PAGE  </w:instrText>
    </w:r>
    <w:r>
      <w:rPr>
        <w:rStyle w:val="9"/>
        <w:rFonts w:ascii="宋体" w:hAnsi="宋体"/>
        <w:sz w:val="28"/>
        <w:szCs w:val="28"/>
      </w:rPr>
      <w:fldChar w:fldCharType="separate"/>
    </w:r>
    <w:r>
      <w:rPr>
        <w:rStyle w:val="9"/>
        <w:rFonts w:ascii="宋体" w:hAnsi="宋体"/>
        <w:sz w:val="28"/>
        <w:szCs w:val="28"/>
      </w:rPr>
      <w:t>- 2 -</w:t>
    </w:r>
    <w:r>
      <w:rPr>
        <w:rStyle w:val="9"/>
        <w:rFonts w:ascii="宋体" w:hAnsi="宋体"/>
        <w:sz w:val="28"/>
        <w:szCs w:val="28"/>
      </w:rPr>
      <w:fldChar w:fldCharType="end"/>
    </w:r>
  </w:p>
  <w:p w14:paraId="27F92B1D">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E3F"/>
    <w:rsid w:val="0002551A"/>
    <w:rsid w:val="000421B4"/>
    <w:rsid w:val="000537E3"/>
    <w:rsid w:val="00073B6C"/>
    <w:rsid w:val="0009651E"/>
    <w:rsid w:val="000B01E1"/>
    <w:rsid w:val="000C1058"/>
    <w:rsid w:val="000D2B0E"/>
    <w:rsid w:val="000F6A17"/>
    <w:rsid w:val="001A46DA"/>
    <w:rsid w:val="001C47D2"/>
    <w:rsid w:val="0023078F"/>
    <w:rsid w:val="00236962"/>
    <w:rsid w:val="00260A3C"/>
    <w:rsid w:val="002A09E9"/>
    <w:rsid w:val="002A4290"/>
    <w:rsid w:val="002D6FF2"/>
    <w:rsid w:val="002F24E1"/>
    <w:rsid w:val="002F6750"/>
    <w:rsid w:val="0034261F"/>
    <w:rsid w:val="003706BC"/>
    <w:rsid w:val="0037684B"/>
    <w:rsid w:val="00394B2C"/>
    <w:rsid w:val="003A2B12"/>
    <w:rsid w:val="003A387B"/>
    <w:rsid w:val="003D32E4"/>
    <w:rsid w:val="004112DF"/>
    <w:rsid w:val="00456B04"/>
    <w:rsid w:val="0047434F"/>
    <w:rsid w:val="00484ADE"/>
    <w:rsid w:val="004A1565"/>
    <w:rsid w:val="004B33F4"/>
    <w:rsid w:val="005200DC"/>
    <w:rsid w:val="00536D41"/>
    <w:rsid w:val="0054075F"/>
    <w:rsid w:val="00552B5F"/>
    <w:rsid w:val="00555FD7"/>
    <w:rsid w:val="005605AF"/>
    <w:rsid w:val="00583C5D"/>
    <w:rsid w:val="005957BF"/>
    <w:rsid w:val="005E139E"/>
    <w:rsid w:val="006124E4"/>
    <w:rsid w:val="00626E3B"/>
    <w:rsid w:val="006530C0"/>
    <w:rsid w:val="00680C7C"/>
    <w:rsid w:val="006A12F4"/>
    <w:rsid w:val="006B42E0"/>
    <w:rsid w:val="006C592C"/>
    <w:rsid w:val="006D31E2"/>
    <w:rsid w:val="006D4097"/>
    <w:rsid w:val="006E0BD2"/>
    <w:rsid w:val="006F2FA4"/>
    <w:rsid w:val="0070633F"/>
    <w:rsid w:val="00721AEE"/>
    <w:rsid w:val="00772831"/>
    <w:rsid w:val="007770AF"/>
    <w:rsid w:val="007A62C6"/>
    <w:rsid w:val="007B7141"/>
    <w:rsid w:val="007B748C"/>
    <w:rsid w:val="007D6265"/>
    <w:rsid w:val="007E00DF"/>
    <w:rsid w:val="007E6CCD"/>
    <w:rsid w:val="00897DBD"/>
    <w:rsid w:val="008B3914"/>
    <w:rsid w:val="008D035C"/>
    <w:rsid w:val="008D0A3E"/>
    <w:rsid w:val="009131FC"/>
    <w:rsid w:val="00956D97"/>
    <w:rsid w:val="00993D1E"/>
    <w:rsid w:val="009D1F86"/>
    <w:rsid w:val="009E5487"/>
    <w:rsid w:val="00A54D28"/>
    <w:rsid w:val="00A628D0"/>
    <w:rsid w:val="00A72F4D"/>
    <w:rsid w:val="00A9519E"/>
    <w:rsid w:val="00AB3857"/>
    <w:rsid w:val="00AD0E10"/>
    <w:rsid w:val="00B013C5"/>
    <w:rsid w:val="00B25013"/>
    <w:rsid w:val="00B85941"/>
    <w:rsid w:val="00BA590E"/>
    <w:rsid w:val="00BC4D47"/>
    <w:rsid w:val="00BD06D2"/>
    <w:rsid w:val="00C4015A"/>
    <w:rsid w:val="00C52725"/>
    <w:rsid w:val="00C56E75"/>
    <w:rsid w:val="00C873C8"/>
    <w:rsid w:val="00CC13B0"/>
    <w:rsid w:val="00CD7E3F"/>
    <w:rsid w:val="00D010B6"/>
    <w:rsid w:val="00D451AF"/>
    <w:rsid w:val="00D679AE"/>
    <w:rsid w:val="00D74A06"/>
    <w:rsid w:val="00DB3CE7"/>
    <w:rsid w:val="00DD4A5F"/>
    <w:rsid w:val="00E00522"/>
    <w:rsid w:val="00EE156E"/>
    <w:rsid w:val="00F017D5"/>
    <w:rsid w:val="00F24344"/>
    <w:rsid w:val="00F70E1B"/>
    <w:rsid w:val="00FF4462"/>
    <w:rsid w:val="027470C3"/>
    <w:rsid w:val="17CA350F"/>
    <w:rsid w:val="1ACE10C4"/>
    <w:rsid w:val="1E684881"/>
    <w:rsid w:val="461313D5"/>
    <w:rsid w:val="65633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Date"/>
    <w:basedOn w:val="1"/>
    <w:next w:val="1"/>
    <w:qFormat/>
    <w:uiPriority w:val="0"/>
    <w:pPr>
      <w:ind w:left="100"/>
    </w:p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link w:val="10"/>
    <w:qFormat/>
    <w:uiPriority w:val="99"/>
    <w:pPr>
      <w:widowControl/>
      <w:spacing w:before="100" w:beforeAutospacing="1" w:after="100" w:afterAutospacing="1"/>
      <w:jc w:val="left"/>
    </w:pPr>
    <w:rPr>
      <w:rFonts w:ascii="宋体" w:hAnsi="宋体" w:cs="宋体"/>
      <w:kern w:val="0"/>
      <w:sz w:val="24"/>
    </w:rPr>
  </w:style>
  <w:style w:type="character" w:styleId="9">
    <w:name w:val="page number"/>
    <w:basedOn w:val="8"/>
    <w:qFormat/>
    <w:uiPriority w:val="0"/>
  </w:style>
  <w:style w:type="character" w:customStyle="1" w:styleId="10">
    <w:name w:val="普通(网站) 字符"/>
    <w:link w:val="6"/>
    <w:qFormat/>
    <w:uiPriority w:val="0"/>
    <w:rPr>
      <w:rFonts w:ascii="宋体" w:hAnsi="宋体" w:eastAsia="宋体" w:cs="宋体"/>
      <w:sz w:val="24"/>
      <w:szCs w:val="24"/>
      <w:lang w:val="en-US" w:eastAsia="zh-CN" w:bidi="ar-SA"/>
    </w:rPr>
  </w:style>
  <w:style w:type="character" w:customStyle="1" w:styleId="11">
    <w:name w:val="批注框文本 字符"/>
    <w:basedOn w:val="8"/>
    <w:link w:val="3"/>
    <w:qFormat/>
    <w:uiPriority w:val="0"/>
    <w:rPr>
      <w:kern w:val="2"/>
      <w:sz w:val="18"/>
      <w:szCs w:val="18"/>
    </w:rPr>
  </w:style>
  <w:style w:type="paragraph" w:customStyle="1" w:styleId="12">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1202</Words>
  <Characters>1552</Characters>
  <Lines>15</Lines>
  <Paragraphs>4</Paragraphs>
  <TotalTime>3</TotalTime>
  <ScaleCrop>false</ScaleCrop>
  <LinksUpToDate>false</LinksUpToDate>
  <CharactersWithSpaces>1564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2022-11-23T08:30:00Z</dcterms:created>
  <dc:creator>User</dc:creator>
  <cp:lastModifiedBy>高兴宁</cp:lastModifiedBy>
  <cp:lastPrinted>2018-11-14T01:23:00Z</cp:lastPrinted>
  <dcterms:modified xsi:type="dcterms:W3CDTF">2025-05-16T00:44:45Z</dcterms:modified>
  <dc:title>融规 [2012] 253号                  签发人：郑卫东</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C0D3A0AD9CE64B1AA024DEC7E9AA9A3F_13</vt:lpwstr>
  </property>
  <property fmtid="{D5CDD505-2E9C-101B-9397-08002B2CF9AE}" pid="4" name="KSOTemplateDocerSaveRecord">
    <vt:lpwstr>eyJoZGlkIjoiNzQ0Mjk0NThmZDNjMjQ2YjlhMzE3Njk0MGY0ODFmNjQiLCJ1c2VySWQiOiIzMzY3NjI0NzYifQ==</vt:lpwstr>
  </property>
</Properties>
</file>